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PTOF 2019-2021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revisione ott 2019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rPr>
          <w:sz w:val="28"/>
          <w:szCs w:val="28"/>
        </w:rPr>
      </w:pPr>
      <w:bookmarkStart w:colFirst="0" w:colLast="0" w:name="_w3s2zlwfwc3l" w:id="0"/>
      <w:bookmarkEnd w:id="0"/>
      <w:r w:rsidDel="00000000" w:rsidR="00000000" w:rsidRPr="00000000">
        <w:rPr>
          <w:sz w:val="28"/>
          <w:szCs w:val="28"/>
          <w:rtl w:val="0"/>
        </w:rPr>
        <w:t xml:space="preserve">1.1. ANALISI DEL CONTESTO E DEI BISOGNI DEL TERRITORIO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rPr>
          <w:sz w:val="24"/>
          <w:szCs w:val="24"/>
        </w:rPr>
      </w:pPr>
      <w:bookmarkStart w:colFirst="0" w:colLast="0" w:name="_at2ow3si3hqc" w:id="1"/>
      <w:bookmarkEnd w:id="1"/>
      <w:r w:rsidDel="00000000" w:rsidR="00000000" w:rsidRPr="00000000">
        <w:rPr>
          <w:sz w:val="24"/>
          <w:szCs w:val="24"/>
          <w:rtl w:val="0"/>
        </w:rPr>
        <w:t xml:space="preserve">LA SCUOLA DI SAN POLO – IL QUARTIERE “VERDE”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L’Istituto Comprensivo EST 1 “Santa Maria Bambina” è composto dalle scuole pubbliche dell’obbligo del territorio di di San Polo, un’ampia zona  del Comune di Brescia, che comprende i quartieri di San Polo Parco, San Polo Case, San Polo Cimabue e Sanpolino.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Si tratta della zona meno densamente abitata del Comune: il tessuto edilizio risente positivamente della pianificazione urbanistica degli anni ‘70 e ‘80, che ha previsto la costruzione di isolati con estese zone verdi,  ha mantenuto  ampi territori a destinazione agricola, e comprende  bacini di cava oggi dismessi e due insediamenti industriali.  </w:t>
      </w:r>
      <w:r w:rsidDel="00000000" w:rsidR="00000000" w:rsidRPr="00000000">
        <w:rPr/>
        <w:drawing>
          <wp:inline distB="114300" distT="114300" distL="114300" distR="114300">
            <wp:extent cx="2727291" cy="2306002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27291" cy="230600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La presenza della metropolitana (con fermate presso i due plessi scolastici di Via Verrocchio e di Via Raffaello), i diffusi percorsi pedonali e ciclabili consentono di raggiungere le scuole con mezzi alternativi all’automobile e permettono dal quartiere di raggiungere rapidamente le altre zone della città.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Parte del quartiere è inserito nella perimetrazione del Parco Agricolo e del Parco delle Cave di Brescia.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La popolazione del quartiere, pari a 28.102 abitanti al 1 gennaio 2019, ha una composizione, per età, nella media con quella dell’intero comune di Brescia: il 13% è composto da bambini e ragazzi tra 0 e 14 anni (quasi il 20% a Sanpolino).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La percentuale di  stranieri censiti (14%) è pari alla media del territorio comunale e significativamente inferiore a quella di altre zone della città. Si osserva, però, che tale percentuale, se si considera la classe d’età tra 0 e 14 anni a livello comunale e anche dei nostri quartieri, sale a oltre il 30%.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La composizione sociale </w:t>
      </w:r>
      <w:r w:rsidDel="00000000" w:rsidR="00000000" w:rsidRPr="00000000">
        <w:rPr>
          <w:rtl w:val="0"/>
        </w:rPr>
        <w:t xml:space="preserve">è eterogenea, </w:t>
      </w:r>
      <w:r w:rsidDel="00000000" w:rsidR="00000000" w:rsidRPr="00000000">
        <w:rPr>
          <w:rtl w:val="0"/>
        </w:rPr>
        <w:t xml:space="preserve"> comprende famiglie di operai, impiegati e professionisti in gran parte insediatisi a partire  dagli anni ‘80 a seguito degli estesi interventi di edilizia  convenzionata </w:t>
      </w:r>
      <w:r w:rsidDel="00000000" w:rsidR="00000000" w:rsidRPr="00000000">
        <w:rPr>
          <w:rtl w:val="0"/>
        </w:rPr>
        <w:t xml:space="preserve">della zona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nonché imprenditori ed artigiani ed infine famiglie più bisognose destinatarie di alloggi di edilizia sovvenzionata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Il tessuto produttivo del quartiere è misto, con presenza sia di realtà industriali e artigianali sia commerciali. Meno presente è il terziario avanzato.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La composizione sociale si riflette in quella delle classi della scuola, che rispecchiano abbastanza fedelmente la realtà territoriale sia del quartiere sia del territorio comunale.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Sul territorio operano numerose agenzie con finalità educative, culturali, ricreative che coinvolgono bambini, ragazzi e  adulti, tra cui: tre biblioteche, tre parrocchie con il relativo oratorio, numerose associazioni musicali, sportive e ambientaliste, circoli di lavoratori, di alpini, cooperative sociali, cooperative di servizi per l’ambiente.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Con molte di queste realtà la scuola ha stabilito relazioni di collaborazioni e di scambio.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Con i Consigli dei quattro quartieri interessati si è stabilito un dialogo continuativo.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La scuola risponde ai bisogni del territorio del quartiere e, per estensione, della città, in ordine specificatamente alle esigenze di :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- integrazione sociale determinata dalla composizione demografica differenziata per livello culturale ed economico delle famiglie e dal numero significativo di alunni stranieri;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- formazione degli alunni affinché a tutti sia garantita la possibilità, secondo il dettato costituzionale, di accedere ai più alti gradi di istruzione;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- educazione ambientale, derivante dalla specifica collocazione delle scuole nella città;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- attenzione e supporto alle diverse espressioni culturali delle nuove generazioni.</w:t>
      </w:r>
    </w:p>
    <w:sectPr>
      <w:pgSz w:h="16838" w:w="11906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